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Пульмонология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Пульмонология | Записей: 2</w:t>
      </w:r>
    </w:p>
    <w:p>
      <w:r>
        <w:br w:type="page"/>
      </w:r>
    </w:p>
    <w:p>
      <w:pPr>
        <w:pStyle w:val="Heading1"/>
      </w:pPr>
      <w:r>
        <w:t>Пульмонология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лет, обратилась к пульмонологу.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Приступы удушья под воздействием резких запахов (лак для волос, духи), физической нагрузки (быстрая ходьба), ночные приступы кашля и удушья еженедельно.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Больна в течение 2-х лет, когда после перенесенной ОРВИ стали рецидивировать приступы кашля и удушье. При обращении к терапевту поликлиники была назначена терапия бекламетазоном, при приступах рекомендовано применение сальбутамола. Лечилась амбулаторно, использовала ингаляции сальбутамола при приступах с эффектом, другие рекомендованные препараты (бекламетазон) не применяла. Приступы удушья беспокоили 2-3 раза в неделю, в том числе по ночам. Ухудшение самочувствия в виде учащения ночных приступов удушья под утро 3 – 4 раза в неделю отмечает в течение месяца после приобретения новой мебели, стала ощущать одышку при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развивалась, не отставая от сверстников.</w:t>
      </w:r>
    </w:p>
    <w:p>
      <w:pPr>
        <w:spacing w:after="58"/>
      </w:pPr>
      <w:r>
        <w:rPr>
          <w:b w:val="0"/>
          <w:i w:val="0"/>
        </w:rPr>
        <w:t>* Из перенесенных заболеваний отмечает простудные, хронический гастрит. Около 5 лет – аллергический ринит.</w:t>
      </w:r>
    </w:p>
    <w:p>
      <w:pPr>
        <w:spacing w:after="58"/>
      </w:pPr>
      <w:r>
        <w:rPr>
          <w:b w:val="0"/>
          <w:i w:val="0"/>
        </w:rPr>
        <w:t>* Не курит, алкоголь не употребляет.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Работает воспитателем в детском саду</w:t>
      </w:r>
    </w:p>
    <w:p>
      <w:pPr>
        <w:spacing w:after="58"/>
      </w:pPr>
      <w:r>
        <w:rPr>
          <w:b w:val="0"/>
          <w:i w:val="0"/>
        </w:rPr>
        <w:t>* Наследственность: мать больной страдает аллергическим ринитом</w:t>
      </w:r>
    </w:p>
    <w:p>
      <w:pPr>
        <w:spacing w:after="58"/>
      </w:pPr>
      <w:r>
        <w:rPr>
          <w:b w:val="0"/>
          <w:i w:val="0"/>
        </w:rPr>
        <w:t>* Гинекологический анамнез: страдает дисфункцией яичников, было 2 беременности, имеет двоих детей (дети здоровы).</w:t>
      </w:r>
    </w:p>
    <w:p>
      <w:pPr>
        <w:spacing w:after="58"/>
      </w:pPr>
      <w:r>
        <w:rPr>
          <w:b w:val="0"/>
          <w:i w:val="0"/>
        </w:rPr>
        <w:t>* Социально-бытовые условия удовлетворительные.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нормостеническое. Кожные покровы и видимые слизистые обычной окраски, влажные, чистые. Лимфатические узлы не пальпируются. Перкуторный звук ясный, легочный. Голосовое дрожание проводится равномерно, одинаково на симметричных участках. Дыхание везикулярное, выдох несколько удлинен, при форсированном дыхании – высокотембровые свистящие хрипы. ЧДД 18 в мин. Тоны сердца ясные, ритм правильный. ЧСС 76 в мин., АД 125/80 мм рт.ст. Живот мягкий, безболезненный. Печень не пальпируется.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инструментальным исследованиям, целесообразным для оценки дыхательных расстройств и постановки диагноза в амбулаторных условиях,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фракции оксида азота в выдыхаемом воздухе (FENO)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спирометрию с бронходилатационным тестом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пикфлоуметрию  утром и вечером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фибробронхоскопию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электрокардиографию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фракции оксида азота в выдыхаемом воздухе (FENO); спирометрию с бронходилатационным тестом; пикфлоуметрию  утром и вечером</w:t>
      </w:r>
    </w:p>
    <w:p>
      <w:pPr>
        <w:ind w:left="504"/>
      </w:pPr>
      <w:r>
        <w:rPr>
          <w:b w:val="0"/>
          <w:i/>
        </w:rPr>
        <w:t>В качестве одного из маркеров аллергического воспаления при БА рекомендуется исследовать фракцию оксида азота в выдыхаемом воздухе (FENO)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БА рекомендуется использовать спирометрию в качестве начального исследования для выявления и оценки степени тяжести обструкции дыхательных путей. Всем пациентам с БА рекомендуется выполнять бронходилатационный тест для определения степени обратимости обструкции под влиянием бронхорасширяющих препаратов.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пациентов с типичными респираторными симптомами выявление повышенной средней суточной вариабельности ПСВ (&gt;10% у взрослых и &gt;13% у детей) подтверждает диагноз БА.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инструментальных методов исследований</w:t>
      </w:r>
    </w:p>
    <w:p>
      <w:pPr>
        <w:pStyle w:val="Heading3"/>
      </w:pPr>
      <w:r>
        <w:t>3.1. Спирометрия с бронходилатационным тестом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 %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После ингаляции сальбутамола 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ФЖЕЛ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OФB1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ОФВ1/ФЖЕЛ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25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75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83</w:t>
            </w:r>
          </w:p>
        </w:tc>
      </w:tr>
    </w:tbl>
    <w:p/>
    <w:p>
      <w:pPr>
        <w:pStyle w:val="Heading3"/>
      </w:pPr>
      <w:r>
        <w:t>3.2. Пикфлоуметрия утром и вечером</w:t>
      </w:r>
    </w:p>
    <w:p>
      <w:pPr>
        <w:spacing w:after="58"/>
      </w:pPr>
      <w:r>
        <w:rPr>
          <w:b w:val="0"/>
          <w:i w:val="0"/>
        </w:rPr>
        <w:t>ПСВ составляет 50% должной в вечернее время, утром отмечается снижение более, чем на 15%, что подтверждает наличие вариабельности ПСВ</w:t>
      </w:r>
    </w:p>
    <w:p>
      <w:pPr>
        <w:pStyle w:val="Heading3"/>
      </w:pPr>
      <w:r>
        <w:t>3.3. Исследование фракции оксида азота в выдыхаемом воздухе (FENO)</w:t>
      </w:r>
    </w:p>
    <w:p>
      <w:pPr>
        <w:spacing w:after="58"/>
      </w:pPr>
      <w:r>
        <w:rPr>
          <w:b w:val="0"/>
          <w:i w:val="0"/>
        </w:rPr>
        <w:t>28ppb (норма &lt;25 ppb)</w:t>
      </w:r>
    </w:p>
    <w:p>
      <w:pPr>
        <w:pStyle w:val="Heading3"/>
      </w:pPr>
      <w:r>
        <w:t>3.5. Фибробронхоскопия</w:t>
      </w:r>
    </w:p>
    <w:p>
      <w:pPr>
        <w:spacing w:after="58"/>
      </w:pPr>
      <w:r>
        <w:rPr>
          <w:b w:val="0"/>
          <w:i w:val="0"/>
        </w:rPr>
        <w:t>Эндобронхит 1 ст.</w:t>
      </w:r>
    </w:p>
    <w:p>
      <w:pPr>
        <w:pStyle w:val="Heading3"/>
      </w:pPr>
      <w:r>
        <w:t>3.6. УЗИ органов брюшной полости</w:t>
      </w:r>
    </w:p>
    <w:p>
      <w:pPr>
        <w:spacing w:after="58"/>
      </w:pPr>
      <w:r>
        <w:rPr>
          <w:b w:val="0"/>
          <w:i w:val="0"/>
        </w:rPr>
        <w:t>Патологии не выявлено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целесообразным   лабораторным методам  обследования для постановки диагноза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фибриноген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развернутый 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бактериологическое исследование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развернутый общий анализ крови; общий анализ мокроты</w:t>
      </w:r>
    </w:p>
    <w:p>
      <w:pPr>
        <w:ind w:left="504"/>
      </w:pPr>
      <w:r>
        <w:rPr>
          <w:b w:val="0"/>
          <w:i/>
        </w:rPr>
        <w:t>Эозинофилия крови и мокроты является фактором риска развития обострений и необратимой бронхиальной обструкции при БА.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эозинофилов в индуцированной мокроте ≥3% наиболее часто рассматривается как критерий эозинофильного воспаления дыхательных путей.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лабораторных методов обследования</w:t>
      </w:r>
    </w:p>
    <w:p>
      <w:pPr>
        <w:pStyle w:val="Heading3"/>
      </w:pPr>
      <w:r>
        <w:t>5.1. Развернутый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 (ед.изм.)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08.10.19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120,0 - 140,0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Лейкоциты, 10х9/л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Эритроциты, 10х12/л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Тромбоциты, 10х9/л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1- 5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Нейтрофилыпалочкоядерные,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1 - 6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сегментоядерные%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47 - 72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19 - 37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0 - 1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2 - 15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</w:tr>
    </w:tbl>
    <w:p/>
    <w:p>
      <w:pPr>
        <w:pStyle w:val="Heading3"/>
      </w:pPr>
      <w:r>
        <w:t>5.2.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количество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Скудная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Желтый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Вязкая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характер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Слизистая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примеси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10-20 в поле зрения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8 – 10 в поле зрения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атипичные клетки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плоский эпителий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альвеолярный эпителий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эластичные волокна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Кристаллы Шарко-Лейдена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Другие микроорганизмы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Кислотоустойчивые микобактерии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учетом анамнестических, клинических и данных дополнительного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обструктивный бронхит в стадии обострения. Синдром бронхиальной гиперреактивности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Бронхиальная астма смешанного генеза, легкая персистирующая, неконтролируемая, в стадии легкого обострения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Аллергическая бронхиальная астма, персистирующая средней степени тяжести, неконтролируемая, среднетяжелое обострение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Неаллергическая бронхиальная астма легкое персистирующее течение, неконтролируемая, легкое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Аллергическая бронхиальная астма, персистирующая средней степени тяжести, неконтролируемая, среднетяжелое обострение</w:t>
      </w:r>
    </w:p>
    <w:p>
      <w:pPr>
        <w:ind w:left="504"/>
      </w:pPr>
      <w:r>
        <w:rPr>
          <w:b w:val="0"/>
          <w:i/>
        </w:rPr>
        <w:t>Диагноз астмы подтверждается рецидивированием приступов удушья, обратимой бронхообструкции, наличием гиперреактивности бронхов, наличием аллергического ринита в анамнезе, эозинофилией крови, мокроты, повышением FENO. Степень тяжести оценена по частоте дневных приступов (чаще раза в неделю) и ночных приступов (чаще 2 раз в месяц). Тяжесть обострения оценена по клиническим признакам, наличию ночных приступов, показателю ПСВ (50% должного), ОФВ1 (72% должного).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Аллергическая бронхиальная астма, персистирующая средней степени тяжести, неконтролируемая, среднетяжелое обострение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контроля  БА рекомендуется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АСТ тест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бронходилатационный тест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САТ тест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одышки по шкале mMRC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 тест</w:t>
      </w:r>
    </w:p>
    <w:p>
      <w:pPr>
        <w:ind w:left="504"/>
      </w:pPr>
      <w:r>
        <w:rPr>
          <w:b w:val="0"/>
          <w:i/>
        </w:rPr>
        <w:t>Для оценки контроля БА рекомендуется использовать вопросник по контролю над астмой (ACQ-5) и тест по контролю над астмой (АСТ)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Независимым фактором риска обострений  БА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гастрит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плохая приверженность к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отягощенная наследственность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дисгормональные нарушения (преклимактерический период)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плохая приверженность к терапии</w:t>
      </w:r>
    </w:p>
    <w:p>
      <w:pPr>
        <w:ind w:left="504"/>
      </w:pPr>
      <w:r>
        <w:rPr>
          <w:b w:val="0"/>
          <w:i/>
        </w:rPr>
        <w:t>Обострение БА могут быть вызваны многими факторами риска, к независимым факторам риска обострений БА относят неадекватную терапию ИГКС (в том числе плохую приверженность к терапии)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 может лечиться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условиях дневного стационара поликлиники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амбулаторных условиях под наблюдением пульмонолога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терапевтическом отделении стационара круглосуточного пребывания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специализированном пульмонологическом отделении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условиях под наблюдением пульмонолога</w:t>
      </w:r>
    </w:p>
    <w:p>
      <w:pPr>
        <w:ind w:left="504"/>
      </w:pPr>
      <w:r>
        <w:rPr>
          <w:b w:val="0"/>
          <w:i/>
        </w:rPr>
        <w:t>Нетяжелые обострения, для которых характерно снижение ПСВ на 25-50%, ночные пробуждения из-за БА и повышенная потребность в КДБА, рекомендуется лечить в амбулаторных условиях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 целью купирования обострения бронхиальной астмы больной должно быть назначено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перорально эуфиллина (теофиллина)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внутривенное введение магния сульфата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ингаляционное  использование бета2-агонистов быстрого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эндотрахеальное введение эпинефрина (адреналина)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ингаляционное  использование бета2-агонистов быстрого действия</w:t>
      </w:r>
    </w:p>
    <w:p>
      <w:pPr>
        <w:ind w:left="504"/>
      </w:pPr>
      <w:r>
        <w:rPr>
          <w:b w:val="0"/>
          <w:i/>
        </w:rPr>
        <w:t>При легком и среднетяжелом обострении БА всем пациентам рекомендуется многократное применение ингаляционных КДБА или комбинаций КДБА и ипратропия бромида.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связи с отсутствием длительного улучшения после начальной терапии бета2-агонистов быстрого действия для купирования обострения пациентке также необходимо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системных глюкокортикостероидов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внутривенных метилксантинов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антигистаминных препаратов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муколитиков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системных глюкокортикостероидов</w:t>
      </w:r>
    </w:p>
    <w:p>
      <w:pPr>
        <w:ind w:left="504"/>
      </w:pPr>
      <w:r>
        <w:rPr>
          <w:b w:val="0"/>
          <w:i/>
        </w:rPr>
        <w:t>СГКС рекомендуется использовать для лечения всех обострений БА, кроме самых легких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Необходимая  суточная  доза системных ГКС ( назначаемых внутрь), для купирования обострения (в мг),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 – 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– 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20–25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40 - 50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40 - 50</w:t>
      </w:r>
    </w:p>
    <w:p>
      <w:pPr>
        <w:ind w:left="504"/>
      </w:pPr>
      <w:r>
        <w:rPr>
          <w:b w:val="0"/>
          <w:i/>
        </w:rPr>
        <w:t>Рекомендуется назначение преднизолона (или его эквивалента) в дозе 40-50 мг/сут 1 раз в сутки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Рекомендуемая длительность назначения системных глюкокортикостероидов (преднизолона) для купирования обострения составляет +______+ дня/дней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2–3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5-7</w:t>
      </w:r>
    </w:p>
    <w:p>
      <w:pPr>
        <w:ind w:left="504"/>
      </w:pPr>
      <w:r>
        <w:rPr>
          <w:b w:val="0"/>
          <w:i/>
        </w:rPr>
        <w:t>Рекомендуется назначение преднизолона (или его эквивалента) в дозе 40-50 мг/сут 1 раз в сутки сроком на 5-7 дней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качестве базисной терапии пациентке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ингаляционный глюкокортикостероид в высокой дозе, теофиллин и антилейкотриеновые средства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фиксированную комбинацию ингаляционного глюкокортикостероида (ИГКС) и длительно действующего бета2-агониста (формотерол) в режиме единого ингалятора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ингаляционный глюкокортикостероид в высокой дозе и двойную бронходилатационную терапию длительно действующим бета-адреномиметиком и длительно действующим антихолинергическим средством (ДДБА/ДДАХ)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ингаляционный глюкокортикостероид в средних терапевтических дозах и преднизолон внутрь в минимальной дозировке (2,5 – 5 мг/сут)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фиксированную комбинацию ингаляционного глюкокортикостероида (ИГКС) и длительно действующего бета2-агониста (формотерол) в режиме единого ингалятора</w:t>
      </w:r>
    </w:p>
    <w:p>
      <w:pPr>
        <w:ind w:left="504"/>
      </w:pPr>
      <w:r>
        <w:rPr>
          <w:b w:val="0"/>
          <w:i/>
        </w:rPr>
        <w:t>У пациентов групп риска ИГКС/формотерол в качестве единого ингалятора значительно редуцирует обострения, улучшает приверженность к терапии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Оценка степени тяжести БА и уровня контроля после начала лечения  должна быть проведена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месяца</w:t>
      </w:r>
    </w:p>
    <w:p>
      <w:pPr>
        <w:ind w:left="504"/>
      </w:pPr>
      <w:r>
        <w:rPr>
          <w:b w:val="0"/>
          <w:i/>
        </w:rPr>
        <w:t>Оценка контроля и выполнение спирометрии после назначения базисной терапии БА проводится через три месяца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Пульмонология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повышение температуры тела до 37,6°C,</w:t>
        <w:br/>
        <w:t>* интенсивный кашель со скудной желтоватой мокротой, сопровождающийся «свистящим» дыханием,</w:t>
        <w:br/>
        <w:t>* головную боль,</w:t>
        <w:br/>
        <w:t>* боли в мышцах,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в течение 7 дней, в дебюте заболевания отмечались слабость, субфебрилитет, миалгии, боли в горле при глотании.</w:t>
        <w:br/>
        <w:t>* На 3 день заболевания присоединился кашель со скудной мокротой, эпизоды диспноэ, сопровождающиеся свистящими хрипами в грудной клетке.</w:t>
        <w:br/>
        <w:t>* Подобные симптомы отмечались у членов семьи (муж, дети).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Работает уборщицей помещений.</w:t>
        <w:br/>
        <w:t>* Перенесённые заболевания: корь, скарлатина.</w:t>
        <w:br/>
        <w:t>* Наследственность и аллергоанамнез не отягощены.</w:t>
        <w:br/>
        <w:t>* Вредные привычки: курит с 20 лет (10 сигарет в день).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тяжести, температура тела – 37,2°C. Умеренная гиперемия зева. Нормостенического телосложения, периферические лимфоузлы не увеличены, отёков нет. Кожные покровы обычной окраски, влажные. При осмотре грудной клетки значимой патологии не выявлено.  При сравнительной перкуссии легких – лёгочный звук. При аускультации дыхание жёсткое, умеренное количество сухих басовых хрипов, в подлопаточных областях с обеих сторон умеренное количество влажных мелкопузырчатых хрипов, ЧДД – 20 в минуту. Пульс – 86 ударов в минуту, ритмичный. Тоны сердца звучные, ритм правильный. АД - 110/65 мм.рт.ст. Язык слегка обложен белым налетом. Живот мягкий, безболезненный. Печень и селезенка не увеличены. Симптом поколачивания отрицательный. Стул и мочеиспускание не нарушены.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суммарных антител (IgM, IgG) к _Treponema pallidum_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антител классов M, G (IgM, IgG) к вирусу иммунодефицита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признаков бактериальной инфекции (нейтрофильный лейкоцитоз &gt;10-12×109/л и/или палочкоядерный сдвиг &gt;10%).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 придаточных пазух носа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пульсоксиметрия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рентгенография органов грудной клетки; пульсоксиметрия</w:t>
      </w:r>
    </w:p>
    <w:p>
      <w:pPr>
        <w:ind w:left="504"/>
      </w:pPr>
      <w:r>
        <w:rPr>
          <w:b w:val="0"/>
          <w:i/>
        </w:rPr>
        <w:t>Для постановки диагноза необходимо проведение рентгенографии органов грудной клетки для выявления инфильтрации лёгочной ткани как признака пневмонии.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пульсоксиметрии для выявления гипоксемии.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учетом выявленных рентгенологических изменений целесообразно выполнить исследование для обнаружения +____________+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стрептококковой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стафилококковой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энтеробактериальной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микоплазменной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микоплазменной</w:t>
      </w:r>
    </w:p>
    <w:p>
      <w:pPr>
        <w:ind w:left="504"/>
      </w:pPr>
      <w:r>
        <w:rPr>
          <w:b w:val="0"/>
          <w:i/>
        </w:rPr>
        <w:t>Для микоплазменной пневмонии характерно: мышечные и головные боли, симптомы поражения верхних дыхательных путей, малопродуктивный приступообразный кашель. На рентгенограмме легких  в 50% случаев – интерстициальные изменения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клинической ситуации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Внебольничная пневмония в нижней доле левого и правого лёгкого нетяжёлого 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двусторонняя нижнедолевая пневмония тяжёлого течения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Очаговая пневмония нижней доли левого и правого лёгкого нетяжёлого 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Пневмония в нижней доле левого и правого лёгкого тяжёлого течения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Внебольничная пневмония в нижней доле левого и правого лёгкого нетяжёлого течения</w:t>
      </w:r>
    </w:p>
    <w:p>
      <w:pPr>
        <w:ind w:left="504"/>
      </w:pPr>
      <w:r>
        <w:rPr>
          <w:b w:val="0"/>
          <w:i/>
        </w:rPr>
        <w:t>Критериями диагноза являются:</w:t>
        <w:br/>
        <w:br/>
        <w:t>*</w:t>
        <w:tab/>
        <w:t>острое начало заболевания с субфебрильной лихорадкой и интоксикацией,</w:t>
        <w:br/>
        <w:t>*</w:t>
        <w:tab/>
        <w:t>кашель с гнойной мокротой,</w:t>
        <w:br/>
        <w:t>*</w:t>
        <w:tab/>
        <w:t>влажные мелкопузырчатые хрипы в зонах инфильтрации,</w:t>
        <w:br/>
        <w:t>*</w:t>
        <w:tab/>
        <w:t>нейтрофильный лейкоцитоз,</w:t>
        <w:br/>
        <w:t>*</w:t>
        <w:tab/>
        <w:t>интерстициальный тип инфильтрации на рентгенограмме органов грудной клетки.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оценки риска неблагоприятного прогноза и выбора места лечения следует использовать шкалу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SMART-COP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SCORE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GRACE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CRB-65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CRB-65</w:t>
      </w:r>
    </w:p>
    <w:p>
      <w:pPr>
        <w:ind w:left="504"/>
      </w:pPr>
      <w:r>
        <w:rPr>
          <w:b w:val="0"/>
          <w:i/>
        </w:rPr>
        <w:t>Для оценки риска неблагоприятного прогноза и выбора места лечения следует использовать шкалу CRB-65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данной пациентки по шкале CRB-65 +______+ баллов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</w:t>
      </w:r>
    </w:p>
    <w:p>
      <w:pPr>
        <w:ind w:left="504"/>
      </w:pPr>
      <w:r>
        <w:rPr>
          <w:b w:val="0"/>
          <w:i/>
        </w:rPr>
        <w:t>Нет нарушения сознания, нормальные ЧДД и АД , возраст менее 65 лет - это 0 баллов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качестве стартовой эмпирической терапии пациентке может быть назначен +_____________+ внутрь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метронидазол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кларитромицин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ципрофлоксацин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доксициклин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кларитромицин</w:t>
      </w:r>
    </w:p>
    <w:p>
      <w:pPr>
        <w:ind w:left="504"/>
      </w:pPr>
      <w:r>
        <w:rPr>
          <w:b w:val="0"/>
          <w:i/>
        </w:rPr>
        <w:t>Показаниями для назначения кларитромицина в качестве стартовой эмпирической антибактериальной терапии в амбулаторных условиях является:</w:t>
        <w:br/>
        <w:br/>
        <w:t>*</w:t>
        <w:tab/>
        <w:t>отсутствие критериев тяжёлой пневмонии, сопутствующих заболеваний, антибактериальной терапии ≥ 2 дней в течение предыдущих 3 месяцев, факторов риска инфицирования редкими и/или полирезистентными возбудителями,</w:t>
        <w:br/>
        <w:t>*</w:t>
        <w:tab/>
        <w:t>наличие интерстициального типа инфильтрации, сходных клинических признаков у членов семьи, свидетельствующих в пользу инфицирования _Mycoplasma pneumoniae_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Эффективность эмпирической терапии после начала приёма антибактериального препарата следует оценить через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24-36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12-18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48-72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48-72</w:t>
      </w:r>
    </w:p>
    <w:p>
      <w:pPr>
        <w:ind w:left="504"/>
      </w:pPr>
      <w:r>
        <w:rPr>
          <w:b w:val="0"/>
          <w:i/>
        </w:rPr>
        <w:t>Эффективность стартовой эмпирической антибактериальной терапии следует оценить через 48-72 часа после начала лечения.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Критерием достаточности антибактериальной терапии, помимо стойкого снижения температуры тела &lt;37,2ºС в течение не менее 48 ч, отсутствия интоксикационного синдрома, гнойной мокроты и нормальной частоты дыхания, является снижение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СОЭ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количества лейкоцитов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ферритина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количества лейкоцитов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Критерием достаточности антибактериальной терапии будет снижение количества лейкоцитов в крови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микоплазменной пневмонии  характерно(ы)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мышечные и головные боли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предшествующая герпетическая инфекция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острое начало, высокая лихорадка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неврологическая симптоматика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мышечные и головные боли</w:t>
      </w:r>
    </w:p>
    <w:p>
      <w:pPr>
        <w:ind w:left="504"/>
      </w:pPr>
      <w:r>
        <w:rPr>
          <w:b w:val="0"/>
          <w:i/>
        </w:rPr>
        <w:t>Для микоплазменной пневмонии характерны - мышечные и головные боли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Основным  методом диагностики микоплазменной пневмонии являет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антигенурии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уровня антител в сыворотке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анализ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ПЦР и ее модификации (ПЦР в реальном времени)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ПЦР и ее модификации (ПЦР в реальном времени)</w:t>
      </w:r>
    </w:p>
    <w:p>
      <w:pPr>
        <w:ind w:left="504"/>
      </w:pPr>
      <w:r>
        <w:rPr>
          <w:b w:val="0"/>
          <w:i/>
        </w:rPr>
        <w:t>Основной метод диагностики микоплазменной пневмонии - ПЦР и ее модификации, в частности ПЦР в реальном времени (ПЦР-РТ)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359/" TargetMode="External"/><Relationship Id="rId10" Type="http://schemas.openxmlformats.org/officeDocument/2006/relationships/hyperlink" Target="https://library.mededtech.ru/rest/documents/KP359/#list_item_v7l2nk" TargetMode="External"/><Relationship Id="rId11" Type="http://schemas.openxmlformats.org/officeDocument/2006/relationships/hyperlink" Target="https://library.mededtech.ru/rest/documents/KP359/#paragraph_7vcg4g" TargetMode="External"/><Relationship Id="rId12" Type="http://schemas.openxmlformats.org/officeDocument/2006/relationships/hyperlink" Target="https://library.mededtech.ru/rest/documents/KP359/#list_item_ju81as" TargetMode="External"/><Relationship Id="rId13" Type="http://schemas.openxmlformats.org/officeDocument/2006/relationships/hyperlink" Target="https://library.mededtech.ru/rest/documents/KP359/#list_item_48t2u1" TargetMode="External"/><Relationship Id="rId14" Type="http://schemas.openxmlformats.org/officeDocument/2006/relationships/hyperlink" Target="https://library.mededtech.ru/rest/documents/KP359/#tab2" TargetMode="External"/><Relationship Id="rId15" Type="http://schemas.openxmlformats.org/officeDocument/2006/relationships/hyperlink" Target="https://library.mededtech.ru/rest/documents/KP359/#tab4" TargetMode="External"/><Relationship Id="rId16" Type="http://schemas.openxmlformats.org/officeDocument/2006/relationships/hyperlink" Target="https://library.mededtech.ru/rest/documents/KP359/#&#1055;&#1088;&#1080;&#1083;&#1086;&#1078;&#1077;&#1085;&#1080;&#1077;_&#1043;1_&#1058;&#1077;&#1089;&#1090;_&#1087;&#1086;_&#1082;&#1086;&#1085;&#1090;&#1088;&#1086;&#1083;&#1102;_&#1085;&#1072;&#1076;_&#1072;&#1089;&#1090;&#1084;&#1086;&#1081;_&#1040;&#1057;&#1058;" TargetMode="External"/><Relationship Id="rId17" Type="http://schemas.openxmlformats.org/officeDocument/2006/relationships/hyperlink" Target="https://library.mededtech.ru/rest/documents/KP359/#table_5b8nle" TargetMode="External"/><Relationship Id="rId18" Type="http://schemas.openxmlformats.org/officeDocument/2006/relationships/hyperlink" Target="https://library.mededtech.ru/rest/documents/KP359/#list_item_p424qh" TargetMode="External"/><Relationship Id="rId19" Type="http://schemas.openxmlformats.org/officeDocument/2006/relationships/hyperlink" Target="https://library.mededtech.ru/rest/documents/KP359/#list_item_feh68a" TargetMode="External"/><Relationship Id="rId20" Type="http://schemas.openxmlformats.org/officeDocument/2006/relationships/hyperlink" Target="https://library.mededtech.ru/rest/documents/KP359/#paragraph_4f1n66" TargetMode="External"/><Relationship Id="rId21" Type="http://schemas.openxmlformats.org/officeDocument/2006/relationships/hyperlink" Target="https://library.mededtech.ru/rest/documents/KP359/#list_item_8ci2tt" TargetMode="External"/><Relationship Id="rId22" Type="http://schemas.openxmlformats.org/officeDocument/2006/relationships/hyperlink" Target="https://library.mededtech.ru/rest/documents/KP359/#paragraph_53roju" TargetMode="External"/><Relationship Id="rId23" Type="http://schemas.openxmlformats.org/officeDocument/2006/relationships/hyperlink" Target="https://library.mededtech.ru/rest/documents/KP359/#paragraph_co7fr9" TargetMode="External"/><Relationship Id="rId24" Type="http://schemas.openxmlformats.org/officeDocument/2006/relationships/hyperlink" Target="https://library.mededtech.ru/rest/documents/654_2/" TargetMode="External"/><Relationship Id="rId25" Type="http://schemas.openxmlformats.org/officeDocument/2006/relationships/hyperlink" Target="https://library.mededtech.ru/rest/documents/654_2/#paragraph_0v4bo8" TargetMode="External"/><Relationship Id="rId26" Type="http://schemas.openxmlformats.org/officeDocument/2006/relationships/hyperlink" Target="https://library.mededtech.ru/rest/documents/654_2/#paragraph_825rct" TargetMode="External"/><Relationship Id="rId27" Type="http://schemas.openxmlformats.org/officeDocument/2006/relationships/hyperlink" Target="https://library.mededtech.ru/rest/documents/654_2/#paragraph_stltub" TargetMode="External"/><Relationship Id="rId28" Type="http://schemas.openxmlformats.org/officeDocument/2006/relationships/hyperlink" Target="https://library.mededtech.ru/rest/documents/654_2/#paragraph_6gc133" TargetMode="External"/><Relationship Id="rId29" Type="http://schemas.openxmlformats.org/officeDocument/2006/relationships/hyperlink" Target="https://library.mededtech.ru/rest/documents/654_2/#list_item_ss2763" TargetMode="External"/><Relationship Id="rId30" Type="http://schemas.openxmlformats.org/officeDocument/2006/relationships/hyperlink" Target="https://library.mededtech.ru/rest/documents/654_2/#&#1055;&#1088;&#1080;&#1083;&#1086;&#1078;&#1077;&#1085;&#1080;&#1077;_&#1043;2_&#1064;&#1082;&#1072;&#1083;&#1072;_curb_crb_65" TargetMode="External"/><Relationship Id="rId31" Type="http://schemas.openxmlformats.org/officeDocument/2006/relationships/hyperlink" Target="https://library.mededtech.ru/rest/documents/654_2/#image_mm35uq" TargetMode="External"/><Relationship Id="rId32" Type="http://schemas.openxmlformats.org/officeDocument/2006/relationships/hyperlink" Target="https://library.mededtech.ru/rest/documents/654_2/#paragraph_ro2lcq" TargetMode="External"/><Relationship Id="rId33" Type="http://schemas.openxmlformats.org/officeDocument/2006/relationships/hyperlink" Target="https://library.mededtech.ru/rest/documents/654_2/#paragraph_llehm1" TargetMode="External"/><Relationship Id="rId34" Type="http://schemas.openxmlformats.org/officeDocument/2006/relationships/hyperlink" Target="https://library.mededtech.ru/rest/documents/654_2/#paragraph_kelbaa" TargetMode="External"/><Relationship Id="rId35" Type="http://schemas.openxmlformats.org/officeDocument/2006/relationships/hyperlink" Target="https://library.mededtech.ru/rest/documents/654_2/#list_item_4545mv" TargetMode="External"/><Relationship Id="rId36" Type="http://schemas.openxmlformats.org/officeDocument/2006/relationships/hyperlink" Target="https://library.mededtech.ru/rest/documents/654_2/#paragraph_75dgt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